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143" w:rsidRPr="00EF68CA" w:rsidRDefault="00945143" w:rsidP="00945143">
      <w:pPr>
        <w:tabs>
          <w:tab w:val="right" w:pos="9639"/>
        </w:tabs>
        <w:wordWrap/>
        <w:autoSpaceDE/>
        <w:autoSpaceDN/>
        <w:spacing w:after="0" w:line="240" w:lineRule="auto"/>
        <w:jc w:val="left"/>
        <w:rPr>
          <w:rFonts w:ascii="Arial" w:eastAsia="Times New Roman" w:hAnsi="Arial" w:cs="Times New Roman"/>
          <w:b/>
          <w:bCs/>
          <w:kern w:val="0"/>
          <w:sz w:val="24"/>
          <w:szCs w:val="24"/>
          <w:lang w:val="en-GB" w:eastAsia="en-US"/>
        </w:rPr>
      </w:pPr>
      <w:r w:rsidRPr="00EF68CA">
        <w:rPr>
          <w:rFonts w:ascii="Arial" w:eastAsia="Times New Roman" w:hAnsi="Arial" w:cs="Times New Roman"/>
          <w:b/>
          <w:bCs/>
          <w:kern w:val="0"/>
          <w:sz w:val="24"/>
          <w:szCs w:val="24"/>
          <w:lang w:val="en-GB" w:eastAsia="en-US"/>
        </w:rPr>
        <w:t>3GPP T</w:t>
      </w:r>
      <w:bookmarkStart w:id="0" w:name="_Ref452454252"/>
      <w:bookmarkEnd w:id="0"/>
      <w:r w:rsidRPr="00EF68CA">
        <w:rPr>
          <w:rFonts w:ascii="Arial" w:eastAsia="Times New Roman" w:hAnsi="Arial" w:cs="Times New Roman"/>
          <w:b/>
          <w:bCs/>
          <w:kern w:val="0"/>
          <w:sz w:val="24"/>
          <w:szCs w:val="24"/>
          <w:lang w:val="en-GB" w:eastAsia="en-US"/>
        </w:rPr>
        <w:t xml:space="preserve">SG-RAN WG2 Meeting #107bis   </w:t>
      </w:r>
      <w:r>
        <w:rPr>
          <w:rFonts w:ascii="Arial" w:eastAsia="Times New Roman" w:hAnsi="Arial" w:cs="Times New Roman"/>
          <w:b/>
          <w:bCs/>
          <w:kern w:val="0"/>
          <w:sz w:val="24"/>
          <w:szCs w:val="24"/>
          <w:lang w:val="en-GB" w:eastAsia="en-US"/>
        </w:rPr>
        <w:t xml:space="preserve"> </w:t>
      </w:r>
      <w:r w:rsidRPr="00EF68CA">
        <w:rPr>
          <w:rFonts w:ascii="Arial" w:eastAsia="Times New Roman" w:hAnsi="Arial" w:cs="Times New Roman"/>
          <w:b/>
          <w:bCs/>
          <w:kern w:val="0"/>
          <w:sz w:val="24"/>
          <w:szCs w:val="24"/>
          <w:lang w:val="en-GB" w:eastAsia="en-US"/>
        </w:rPr>
        <w:t xml:space="preserve">                     </w:t>
      </w:r>
      <w:r w:rsidRPr="00945143">
        <w:rPr>
          <w:rFonts w:ascii="Arial" w:eastAsia="Times New Roman" w:hAnsi="Arial" w:cs="Times New Roman"/>
          <w:b/>
          <w:bCs/>
          <w:kern w:val="0"/>
          <w:sz w:val="24"/>
          <w:szCs w:val="24"/>
          <w:lang w:val="en-GB" w:eastAsia="en-US"/>
        </w:rPr>
        <w:t>R2-1912535</w:t>
      </w:r>
    </w:p>
    <w:p w:rsidR="00945143" w:rsidRPr="00EF68CA" w:rsidRDefault="00945143" w:rsidP="00945143">
      <w:pPr>
        <w:tabs>
          <w:tab w:val="right" w:pos="9639"/>
        </w:tabs>
        <w:wordWrap/>
        <w:autoSpaceDE/>
        <w:autoSpaceDN/>
        <w:spacing w:after="0" w:line="240" w:lineRule="auto"/>
        <w:jc w:val="left"/>
        <w:rPr>
          <w:rFonts w:ascii="Arial" w:eastAsia="Times New Roman" w:hAnsi="Arial" w:cs="Times New Roman"/>
          <w:b/>
          <w:bCs/>
          <w:kern w:val="0"/>
          <w:sz w:val="24"/>
          <w:szCs w:val="24"/>
          <w:lang w:val="en-GB" w:eastAsia="en-US"/>
        </w:rPr>
      </w:pPr>
      <w:r w:rsidRPr="00EF68CA">
        <w:rPr>
          <w:rFonts w:ascii="Arial" w:eastAsia="Times New Roman" w:hAnsi="Arial" w:cs="Times New Roman"/>
          <w:b/>
          <w:bCs/>
          <w:kern w:val="0"/>
          <w:sz w:val="24"/>
          <w:szCs w:val="24"/>
          <w:lang w:val="en-GB" w:eastAsia="en-US"/>
        </w:rPr>
        <w:t xml:space="preserve">Chongqing, China, Oct 14th – 18th, 2019                          </w:t>
      </w:r>
    </w:p>
    <w:p w:rsidR="0013383D" w:rsidRPr="00A801BF" w:rsidRDefault="0013383D" w:rsidP="0013383D">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13383D" w:rsidRDefault="0013383D" w:rsidP="0013383D">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1D6D18" w:rsidRPr="001D6D18">
        <w:rPr>
          <w:rFonts w:ascii="바탕체" w:eastAsia="바탕체" w:hAnsi="바탕체" w:cs="바탕체"/>
          <w:b/>
          <w:bCs/>
          <w:kern w:val="0"/>
          <w:sz w:val="24"/>
          <w:szCs w:val="20"/>
        </w:rPr>
        <w:t>6.1.2</w:t>
      </w:r>
      <w:bookmarkStart w:id="1" w:name="_GoBack"/>
      <w:bookmarkEnd w:id="1"/>
    </w:p>
    <w:p w:rsidR="0013383D" w:rsidRPr="00A801BF" w:rsidRDefault="0013383D" w:rsidP="0013383D">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13383D" w:rsidRPr="00A801BF" w:rsidRDefault="0013383D" w:rsidP="0013383D">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732A4C">
        <w:rPr>
          <w:rFonts w:ascii="Arial" w:eastAsia="바탕" w:hAnsi="Arial" w:cs="Arial"/>
          <w:b/>
          <w:bCs/>
          <w:kern w:val="0"/>
          <w:sz w:val="24"/>
          <w:szCs w:val="20"/>
          <w:lang w:eastAsia="en-US"/>
        </w:rPr>
        <w:t>EN-DC</w:t>
      </w:r>
      <w:r w:rsidR="00034333">
        <w:rPr>
          <w:rFonts w:ascii="Arial" w:eastAsia="바탕" w:hAnsi="Arial" w:cs="Arial"/>
          <w:b/>
          <w:bCs/>
          <w:kern w:val="0"/>
          <w:sz w:val="24"/>
          <w:szCs w:val="20"/>
          <w:lang w:eastAsia="en-US"/>
        </w:rPr>
        <w:t xml:space="preserve"> </w:t>
      </w:r>
      <w:r w:rsidR="00732A4C">
        <w:rPr>
          <w:rFonts w:ascii="Arial" w:eastAsia="바탕" w:hAnsi="Arial" w:cs="Arial"/>
          <w:b/>
          <w:bCs/>
          <w:kern w:val="0"/>
          <w:sz w:val="24"/>
          <w:szCs w:val="20"/>
          <w:lang w:eastAsia="en-US"/>
        </w:rPr>
        <w:t xml:space="preserve">support in </w:t>
      </w:r>
      <w:r w:rsidR="00034333">
        <w:rPr>
          <w:rFonts w:ascii="Arial" w:eastAsia="바탕" w:hAnsi="Arial" w:cs="Arial"/>
          <w:b/>
          <w:bCs/>
          <w:kern w:val="0"/>
          <w:sz w:val="24"/>
          <w:szCs w:val="20"/>
          <w:lang w:eastAsia="en-US"/>
        </w:rPr>
        <w:t xml:space="preserve">IAB </w:t>
      </w:r>
    </w:p>
    <w:p w:rsidR="0013383D" w:rsidRPr="00A801BF" w:rsidRDefault="0013383D" w:rsidP="0013383D">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13383D" w:rsidRPr="00E55790" w:rsidRDefault="0013383D" w:rsidP="0013383D">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033F41" w:rsidRDefault="0013383D" w:rsidP="0013383D">
      <w:pPr>
        <w:rPr>
          <w:rFonts w:eastAsiaTheme="minorEastAsia"/>
        </w:rPr>
      </w:pPr>
      <w:r>
        <w:rPr>
          <w:rFonts w:eastAsiaTheme="minorEastAsia"/>
        </w:rPr>
        <w:t>I</w:t>
      </w:r>
      <w:r>
        <w:rPr>
          <w:rFonts w:eastAsiaTheme="minorEastAsia" w:hint="eastAsia"/>
        </w:rPr>
        <w:t xml:space="preserve">n </w:t>
      </w:r>
      <w:r w:rsidR="00732A4C">
        <w:rPr>
          <w:rFonts w:eastAsiaTheme="minorEastAsia"/>
        </w:rPr>
        <w:t>IAB WID [1], there is description on EN-DC support as below:</w:t>
      </w:r>
    </w:p>
    <w:p w:rsidR="00034333" w:rsidRDefault="00732A4C" w:rsidP="0013383D">
      <w:r>
        <w:t xml:space="preserve">“Flexible deployment </w:t>
      </w:r>
      <w:r w:rsidRPr="00401668">
        <w:rPr>
          <w:highlight w:val="yellow"/>
        </w:rPr>
        <w:t>allowing IAB-node operation in EN-DC mode with EPC</w:t>
      </w:r>
      <w:r>
        <w:t xml:space="preserve"> or in SA-mode with 5GC”.</w:t>
      </w:r>
    </w:p>
    <w:p w:rsidR="00401668" w:rsidRDefault="00401668" w:rsidP="00401668">
      <w:pPr>
        <w:rPr>
          <w:rFonts w:eastAsia="맑은 고딕"/>
        </w:rPr>
      </w:pPr>
      <w:r>
        <w:t>Based on the above WID remark, we need to discuss the details on ENDC support in IAB.</w:t>
      </w:r>
    </w:p>
    <w:p w:rsidR="00034333" w:rsidRDefault="00034333" w:rsidP="0013383D">
      <w:pPr>
        <w:rPr>
          <w:rFonts w:eastAsia="맑은 고딕"/>
          <w:sz w:val="21"/>
          <w:szCs w:val="21"/>
        </w:rPr>
      </w:pPr>
    </w:p>
    <w:p w:rsidR="00034333" w:rsidRDefault="00034333" w:rsidP="00034333">
      <w:pPr>
        <w:pStyle w:val="1"/>
      </w:pPr>
      <w:r>
        <w:t xml:space="preserve">Discussion </w:t>
      </w:r>
    </w:p>
    <w:p w:rsidR="00034333" w:rsidRDefault="00401668" w:rsidP="0013383D">
      <w:pPr>
        <w:rPr>
          <w:rFonts w:eastAsiaTheme="minorEastAsia"/>
        </w:rPr>
      </w:pPr>
      <w:r>
        <w:rPr>
          <w:rFonts w:eastAsiaTheme="minorEastAsia"/>
        </w:rPr>
        <w:t>B</w:t>
      </w:r>
      <w:r>
        <w:rPr>
          <w:rFonts w:eastAsiaTheme="minorEastAsia" w:hint="eastAsia"/>
        </w:rPr>
        <w:t xml:space="preserve">elow </w:t>
      </w:r>
      <w:r>
        <w:rPr>
          <w:rFonts w:eastAsiaTheme="minorEastAsia"/>
        </w:rPr>
        <w:t xml:space="preserve">is the architectural description from TR [2], </w:t>
      </w:r>
    </w:p>
    <w:p w:rsidR="00401668" w:rsidRPr="00401668" w:rsidRDefault="00401668" w:rsidP="0013383D">
      <w:pPr>
        <w:rPr>
          <w:rFonts w:eastAsiaTheme="minorEastAsia"/>
        </w:rPr>
      </w:pPr>
      <w:r>
        <w:object w:dxaOrig="4560" w:dyaOrig="5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75pt;height:164.05pt" o:ole="">
            <v:imagedata r:id="rId7" o:title=""/>
          </v:shape>
          <o:OLEObject Type="Embed" ProgID="Visio.Drawing.15" ShapeID="_x0000_i1025" DrawAspect="Content" ObjectID="_1631690110" r:id="rId8"/>
        </w:object>
      </w:r>
    </w:p>
    <w:p w:rsidR="00401668" w:rsidRDefault="00401668" w:rsidP="00401668">
      <w:pPr>
        <w:rPr>
          <w:rFonts w:eastAsia="맑은 고딕"/>
        </w:rPr>
      </w:pPr>
      <w:r>
        <w:t>The followings are for the initial procedure for the IAB node attaching to the IAB donor in EN-DC mode.</w:t>
      </w:r>
    </w:p>
    <w:p w:rsidR="00401668" w:rsidRDefault="00401668" w:rsidP="00401668"/>
    <w:p w:rsidR="00401668" w:rsidRDefault="00401668" w:rsidP="00401668">
      <w:r>
        <w:t>First we need to agree on using ENDC for IAB. It is obvious that first phase NR will be deployed with ENDC. For the reliable CP transaction, having eNB as a master node is a straightforward.</w:t>
      </w:r>
    </w:p>
    <w:p w:rsidR="00401668" w:rsidRDefault="00401668" w:rsidP="00401668">
      <w:pPr>
        <w:rPr>
          <w:b/>
          <w:bCs/>
        </w:rPr>
      </w:pPr>
      <w:r>
        <w:rPr>
          <w:b/>
          <w:bCs/>
        </w:rPr>
        <w:t>Proposal 1. RAN2 agrees that IAB node can work as UE in EN-DC deployment.</w:t>
      </w:r>
    </w:p>
    <w:p w:rsidR="00401668" w:rsidRDefault="00401668" w:rsidP="00401668"/>
    <w:p w:rsidR="00401668" w:rsidRDefault="00401668" w:rsidP="00401668">
      <w:r>
        <w:t xml:space="preserve">Based on the RAN3’s scope, there is not much thing to be done at RAN2 in initial stage since most of part in IAB node setup is under the RAN3. </w:t>
      </w:r>
    </w:p>
    <w:p w:rsidR="00975BF6" w:rsidRPr="003A2020" w:rsidRDefault="00975BF6" w:rsidP="00401668">
      <w:pPr>
        <w:rPr>
          <w:i/>
        </w:rPr>
      </w:pPr>
      <w:r w:rsidRPr="003A2020">
        <w:rPr>
          <w:i/>
        </w:rPr>
        <w:t>Observation 1. One note is that unlike NR-</w:t>
      </w:r>
      <w:r w:rsidR="003A2020" w:rsidRPr="003A2020">
        <w:rPr>
          <w:i/>
        </w:rPr>
        <w:t>DC</w:t>
      </w:r>
      <w:r w:rsidRPr="003A2020">
        <w:rPr>
          <w:i/>
        </w:rPr>
        <w:t>, IAB EN-DC option clearly has the MN and SN, so that MCG/SCG-link and MN/SN can be used as the terminology.</w:t>
      </w:r>
    </w:p>
    <w:p w:rsidR="00975BF6" w:rsidRDefault="00975BF6" w:rsidP="00401668"/>
    <w:p w:rsidR="00323905" w:rsidRDefault="00401668" w:rsidP="00323905">
      <w:pPr>
        <w:pStyle w:val="2"/>
      </w:pPr>
      <w:r>
        <w:t>Issue 1. How to guarantee the MT to access the cell with IAB DU functionality ?</w:t>
      </w:r>
    </w:p>
    <w:p w:rsidR="00323905" w:rsidRPr="00323905" w:rsidRDefault="00323905" w:rsidP="00323905">
      <w:pPr>
        <w:rPr>
          <w:rFonts w:eastAsiaTheme="minorEastAsia"/>
        </w:rPr>
      </w:pPr>
      <w:r>
        <w:rPr>
          <w:rFonts w:eastAsiaTheme="minorEastAsia"/>
        </w:rPr>
        <w:t>B</w:t>
      </w:r>
      <w:r>
        <w:rPr>
          <w:rFonts w:eastAsiaTheme="minorEastAsia" w:hint="eastAsia"/>
        </w:rPr>
        <w:t xml:space="preserve">ased </w:t>
      </w:r>
      <w:r>
        <w:rPr>
          <w:rFonts w:eastAsiaTheme="minorEastAsia"/>
        </w:rPr>
        <w:t>on the</w:t>
      </w:r>
      <w:r w:rsidR="003A2020">
        <w:rPr>
          <w:rFonts w:eastAsiaTheme="minorEastAsia"/>
        </w:rPr>
        <w:t xml:space="preserve"> RAN3 discussion,</w:t>
      </w:r>
      <w:r>
        <w:rPr>
          <w:rFonts w:eastAsiaTheme="minorEastAsia"/>
        </w:rPr>
        <w:t xml:space="preserve"> one possible scenario for IAB node setup procedure can be described, as below:</w:t>
      </w:r>
    </w:p>
    <w:p w:rsidR="00323905" w:rsidRDefault="00401668" w:rsidP="00323905">
      <w:pPr>
        <w:pStyle w:val="a5"/>
        <w:numPr>
          <w:ilvl w:val="0"/>
          <w:numId w:val="4"/>
        </w:numPr>
        <w:ind w:leftChars="0"/>
      </w:pPr>
      <w:r w:rsidRPr="00323905">
        <w:t xml:space="preserve">MT first accesses LTE node as normal UE, and indicates UE id to the CN. </w:t>
      </w:r>
    </w:p>
    <w:p w:rsidR="00323905" w:rsidRDefault="00401668" w:rsidP="00323905">
      <w:pPr>
        <w:pStyle w:val="a5"/>
        <w:numPr>
          <w:ilvl w:val="0"/>
          <w:numId w:val="4"/>
        </w:numPr>
        <w:ind w:leftChars="0"/>
      </w:pPr>
      <w:r w:rsidRPr="00323905">
        <w:t xml:space="preserve">MME will check the id is IAB authorized. If so, MME sends this indication to the eNB. </w:t>
      </w:r>
    </w:p>
    <w:p w:rsidR="00323905" w:rsidRDefault="00401668" w:rsidP="00323905">
      <w:pPr>
        <w:pStyle w:val="a5"/>
        <w:numPr>
          <w:ilvl w:val="0"/>
          <w:numId w:val="4"/>
        </w:numPr>
        <w:ind w:leftChars="0"/>
      </w:pPr>
      <w:r w:rsidRPr="00323905">
        <w:t xml:space="preserve">eNB will proceed X2 interface procedure for getting knowledge on neighbor en-gNB supporting IAB. </w:t>
      </w:r>
    </w:p>
    <w:p w:rsidR="00323905" w:rsidRDefault="00401668" w:rsidP="00323905">
      <w:pPr>
        <w:pStyle w:val="a5"/>
        <w:numPr>
          <w:ilvl w:val="0"/>
          <w:numId w:val="4"/>
        </w:numPr>
        <w:ind w:leftChars="0"/>
      </w:pPr>
      <w:r w:rsidRPr="00323905">
        <w:t>Then, eNB configures the IAB MT to measure the NR freq based on obtained en-gNB supporting IAB.</w:t>
      </w:r>
    </w:p>
    <w:p w:rsidR="00401668" w:rsidRPr="00323905" w:rsidRDefault="00401668" w:rsidP="00323905">
      <w:pPr>
        <w:pStyle w:val="a5"/>
        <w:numPr>
          <w:ilvl w:val="0"/>
          <w:numId w:val="4"/>
        </w:numPr>
        <w:ind w:leftChars="0"/>
      </w:pPr>
      <w:r w:rsidRPr="00323905">
        <w:t xml:space="preserve">And eNB receives the measurement report, and start SN addition procedure with IAB capable en-gNB. </w:t>
      </w:r>
    </w:p>
    <w:p w:rsidR="00323905" w:rsidRDefault="00323905" w:rsidP="00323905"/>
    <w:p w:rsidR="00401668" w:rsidRPr="00323905" w:rsidRDefault="00401668" w:rsidP="00323905">
      <w:pPr>
        <w:rPr>
          <w:b/>
        </w:rPr>
      </w:pPr>
      <w:r w:rsidRPr="00323905">
        <w:rPr>
          <w:b/>
        </w:rPr>
        <w:t>P</w:t>
      </w:r>
      <w:r w:rsidR="00323905" w:rsidRPr="00323905">
        <w:rPr>
          <w:b/>
        </w:rPr>
        <w:t xml:space="preserve">roposal </w:t>
      </w:r>
      <w:r w:rsidRPr="00323905">
        <w:rPr>
          <w:b/>
        </w:rPr>
        <w:t xml:space="preserve">2. RAN2 follows above ENDC setup procedure </w:t>
      </w:r>
    </w:p>
    <w:p w:rsidR="00323905" w:rsidRPr="00323905" w:rsidRDefault="00323905" w:rsidP="00323905"/>
    <w:p w:rsidR="00401668" w:rsidRDefault="00401668" w:rsidP="00323905">
      <w:pPr>
        <w:pStyle w:val="2"/>
      </w:pPr>
      <w:r>
        <w:t>Issue 2. Available SRB at SN ?</w:t>
      </w:r>
    </w:p>
    <w:p w:rsidR="00401668" w:rsidRPr="00323905" w:rsidRDefault="00401668" w:rsidP="00323905">
      <w:pPr>
        <w:rPr>
          <w:rFonts w:eastAsiaTheme="minorEastAsia"/>
        </w:rPr>
      </w:pPr>
      <w:r w:rsidRPr="00323905">
        <w:rPr>
          <w:rFonts w:eastAsiaTheme="minorEastAsia"/>
        </w:rPr>
        <w:t>Since at least IAB donor node should be able t</w:t>
      </w:r>
      <w:r w:rsidR="00323905">
        <w:rPr>
          <w:rFonts w:eastAsiaTheme="minorEastAsia"/>
        </w:rPr>
        <w:t>o reconfigure IAB RRC by itself, there should be SRB3 always for the operation of IAB.</w:t>
      </w:r>
    </w:p>
    <w:p w:rsidR="00323905" w:rsidRPr="00323905" w:rsidRDefault="00323905" w:rsidP="00323905">
      <w:pPr>
        <w:rPr>
          <w:rFonts w:eastAsiaTheme="minorEastAsia"/>
          <w:b/>
        </w:rPr>
      </w:pPr>
      <w:r w:rsidRPr="00323905">
        <w:rPr>
          <w:rFonts w:eastAsiaTheme="minorEastAsia"/>
          <w:b/>
        </w:rPr>
        <w:t>Proposal 3. SRB3 is always configured.</w:t>
      </w:r>
    </w:p>
    <w:p w:rsidR="00401668" w:rsidRDefault="00401668" w:rsidP="00323905">
      <w:pPr>
        <w:rPr>
          <w:rFonts w:eastAsiaTheme="minorEastAsia"/>
        </w:rPr>
      </w:pPr>
      <w:r w:rsidRPr="00323905">
        <w:rPr>
          <w:rFonts w:eastAsiaTheme="minorEastAsia"/>
        </w:rPr>
        <w:t>There is no need to use IAB link to be used for LTE CP traffic. But if the other use case is there, we can think of using split SRB.</w:t>
      </w:r>
    </w:p>
    <w:p w:rsidR="00323905" w:rsidRPr="00323905" w:rsidRDefault="00323905" w:rsidP="00323905">
      <w:pPr>
        <w:rPr>
          <w:rFonts w:eastAsiaTheme="minorEastAsia"/>
          <w:b/>
        </w:rPr>
      </w:pPr>
      <w:r w:rsidRPr="00323905">
        <w:rPr>
          <w:rFonts w:eastAsiaTheme="minorEastAsia"/>
          <w:b/>
        </w:rPr>
        <w:t>Proposal 4. No split SRB (split SRB1 and 2) are allowed.</w:t>
      </w:r>
    </w:p>
    <w:p w:rsidR="00323905" w:rsidRDefault="00323905" w:rsidP="00401668"/>
    <w:p w:rsidR="00401668" w:rsidRDefault="00401668" w:rsidP="00323905">
      <w:pPr>
        <w:pStyle w:val="2"/>
      </w:pPr>
      <w:r>
        <w:t>Issue 3. DRB configuration at SN ?</w:t>
      </w:r>
    </w:p>
    <w:p w:rsidR="00401668" w:rsidRDefault="00401668" w:rsidP="00323905">
      <w:pPr>
        <w:rPr>
          <w:rFonts w:eastAsiaTheme="minorEastAsia"/>
        </w:rPr>
      </w:pPr>
      <w:r w:rsidRPr="00323905">
        <w:rPr>
          <w:rFonts w:eastAsiaTheme="minorEastAsia"/>
        </w:rPr>
        <w:t xml:space="preserve">Allowing split DRB terminated at en-gNB </w:t>
      </w:r>
      <w:r w:rsidR="00AF0696">
        <w:rPr>
          <w:rFonts w:eastAsiaTheme="minorEastAsia"/>
        </w:rPr>
        <w:t xml:space="preserve">is necessary </w:t>
      </w:r>
      <w:r w:rsidRPr="00323905">
        <w:rPr>
          <w:rFonts w:eastAsiaTheme="minorEastAsia"/>
        </w:rPr>
        <w:t xml:space="preserve">? For simpler operation, </w:t>
      </w:r>
      <w:r w:rsidR="00AF0696">
        <w:rPr>
          <w:rFonts w:eastAsiaTheme="minorEastAsia"/>
        </w:rPr>
        <w:t xml:space="preserve">it is desired that </w:t>
      </w:r>
      <w:r w:rsidRPr="00323905">
        <w:rPr>
          <w:rFonts w:eastAsiaTheme="minorEastAsia"/>
        </w:rPr>
        <w:t xml:space="preserve">IAB traffic is only over IAB link except SCG failure case. On SCG failure case, the IAB traffic can be traversed over MCG link temporally. </w:t>
      </w:r>
    </w:p>
    <w:p w:rsidR="00AF0696" w:rsidRPr="00AF0696" w:rsidRDefault="00AF0696" w:rsidP="00AF0696">
      <w:pPr>
        <w:rPr>
          <w:rFonts w:eastAsiaTheme="minorEastAsia"/>
          <w:b/>
        </w:rPr>
      </w:pPr>
      <w:r w:rsidRPr="00AF0696">
        <w:rPr>
          <w:rFonts w:eastAsiaTheme="minorEastAsia"/>
          <w:b/>
        </w:rPr>
        <w:t>Proposal 5. No split DRB terminated at en-gNB(IAB donor node) is allowed.</w:t>
      </w:r>
    </w:p>
    <w:p w:rsidR="00323905" w:rsidRDefault="00323905" w:rsidP="00AF0696">
      <w:pPr>
        <w:pStyle w:val="a5"/>
        <w:widowControl/>
        <w:spacing w:after="0" w:line="240" w:lineRule="auto"/>
        <w:ind w:leftChars="0" w:left="1155"/>
      </w:pPr>
    </w:p>
    <w:p w:rsidR="00401668" w:rsidRDefault="00401668" w:rsidP="00AF0696">
      <w:pPr>
        <w:pStyle w:val="2"/>
      </w:pPr>
      <w:r>
        <w:t>Issue 4. Link failure on SCG</w:t>
      </w:r>
    </w:p>
    <w:p w:rsidR="00AF0696" w:rsidRDefault="00AF0696" w:rsidP="00AF0696">
      <w:pPr>
        <w:rPr>
          <w:rFonts w:eastAsiaTheme="minorEastAsia"/>
        </w:rPr>
      </w:pPr>
      <w:r>
        <w:rPr>
          <w:rFonts w:eastAsiaTheme="minorEastAsia"/>
        </w:rPr>
        <w:t>B</w:t>
      </w:r>
      <w:r>
        <w:rPr>
          <w:rFonts w:eastAsiaTheme="minorEastAsia" w:hint="eastAsia"/>
        </w:rPr>
        <w:t xml:space="preserve">y </w:t>
      </w:r>
      <w:r>
        <w:rPr>
          <w:rFonts w:eastAsiaTheme="minorEastAsia"/>
        </w:rPr>
        <w:t>following the baseline of EN-DC, we can move forward to the following proposals.</w:t>
      </w:r>
    </w:p>
    <w:p w:rsidR="00401668" w:rsidRPr="00AF0696" w:rsidRDefault="00401668" w:rsidP="00AF0696">
      <w:pPr>
        <w:rPr>
          <w:rFonts w:eastAsiaTheme="minorEastAsia"/>
          <w:b/>
        </w:rPr>
      </w:pPr>
      <w:r w:rsidRPr="00AF0696">
        <w:rPr>
          <w:rFonts w:eastAsiaTheme="minorEastAsia"/>
          <w:b/>
        </w:rPr>
        <w:t>P</w:t>
      </w:r>
      <w:r w:rsidR="00AF0696" w:rsidRPr="00AF0696">
        <w:rPr>
          <w:rFonts w:eastAsiaTheme="minorEastAsia"/>
          <w:b/>
        </w:rPr>
        <w:t xml:space="preserve">roposal </w:t>
      </w:r>
      <w:r w:rsidRPr="00AF0696">
        <w:rPr>
          <w:rFonts w:eastAsiaTheme="minorEastAsia"/>
          <w:b/>
        </w:rPr>
        <w:t>6. If SCG link has failed IAB node will suspend SCG transmission for all SRBs and DRBs.</w:t>
      </w:r>
    </w:p>
    <w:p w:rsidR="00AF0696" w:rsidRDefault="00AF0696" w:rsidP="00AF0696">
      <w:pPr>
        <w:rPr>
          <w:rFonts w:eastAsiaTheme="minorEastAsia"/>
        </w:rPr>
      </w:pPr>
    </w:p>
    <w:p w:rsidR="00AF0696" w:rsidRDefault="00AF0696" w:rsidP="00AF0696">
      <w:pPr>
        <w:rPr>
          <w:rFonts w:eastAsiaTheme="minorEastAsia"/>
        </w:rPr>
      </w:pPr>
      <w:r w:rsidRPr="00AF0696">
        <w:rPr>
          <w:rFonts w:eastAsiaTheme="minorEastAsia"/>
        </w:rPr>
        <w:t>Even though the DU part working normally during recovery, resetting SCG MAC does</w:t>
      </w:r>
      <w:r>
        <w:rPr>
          <w:rFonts w:eastAsiaTheme="minorEastAsia"/>
        </w:rPr>
        <w:t>n’t harm for data loss, and by following EN-DC baseline, we have the following proposal:</w:t>
      </w:r>
    </w:p>
    <w:p w:rsidR="00401668" w:rsidRPr="00AF0696" w:rsidRDefault="00401668" w:rsidP="00AF0696">
      <w:pPr>
        <w:rPr>
          <w:rFonts w:eastAsiaTheme="minorEastAsia"/>
          <w:b/>
        </w:rPr>
      </w:pPr>
      <w:r w:rsidRPr="00AF0696">
        <w:rPr>
          <w:rFonts w:eastAsiaTheme="minorEastAsia"/>
          <w:b/>
        </w:rPr>
        <w:t>P</w:t>
      </w:r>
      <w:r w:rsidR="00AF0696" w:rsidRPr="00AF0696">
        <w:rPr>
          <w:rFonts w:eastAsiaTheme="minorEastAsia"/>
          <w:b/>
        </w:rPr>
        <w:t xml:space="preserve">roposal </w:t>
      </w:r>
      <w:r w:rsidRPr="00AF0696">
        <w:rPr>
          <w:rFonts w:eastAsiaTheme="minorEastAsia"/>
          <w:b/>
        </w:rPr>
        <w:t xml:space="preserve">7. Failed IAB node resets SCG MAC. </w:t>
      </w:r>
    </w:p>
    <w:p w:rsidR="00401668" w:rsidRPr="00AF0696" w:rsidRDefault="00401668" w:rsidP="00AF0696">
      <w:pPr>
        <w:rPr>
          <w:rFonts w:eastAsiaTheme="minorEastAsia"/>
          <w:b/>
        </w:rPr>
      </w:pPr>
      <w:r w:rsidRPr="00AF0696">
        <w:rPr>
          <w:rFonts w:eastAsiaTheme="minorEastAsia"/>
          <w:b/>
        </w:rPr>
        <w:t>P</w:t>
      </w:r>
      <w:r w:rsidR="00AF0696">
        <w:rPr>
          <w:rFonts w:eastAsiaTheme="minorEastAsia"/>
          <w:b/>
        </w:rPr>
        <w:t xml:space="preserve">roposal </w:t>
      </w:r>
      <w:r w:rsidRPr="00AF0696">
        <w:rPr>
          <w:rFonts w:eastAsiaTheme="minorEastAsia"/>
          <w:b/>
        </w:rPr>
        <w:t>8. Reuse legacy SCGfailureType on IAB node’s failure report transmission (as in current failure type:</w:t>
      </w:r>
      <w:r w:rsidR="00AF0696">
        <w:rPr>
          <w:rFonts w:eastAsiaTheme="minorEastAsia"/>
          <w:b/>
        </w:rPr>
        <w:t xml:space="preserve"> </w:t>
      </w:r>
      <w:r w:rsidRPr="00AF0696">
        <w:rPr>
          <w:rFonts w:eastAsiaTheme="minorEastAsia"/>
          <w:b/>
        </w:rPr>
        <w:t>t310-expiry, syncReconfigFailure-SCG, randomAccessProblem, rlc-MaxNumRetx, srb3-IntegrityFailure, scg-</w:t>
      </w:r>
      <w:r w:rsidR="00AF0696">
        <w:rPr>
          <w:rFonts w:eastAsiaTheme="minorEastAsia"/>
          <w:b/>
        </w:rPr>
        <w:t>r</w:t>
      </w:r>
      <w:r w:rsidRPr="00AF0696">
        <w:rPr>
          <w:rFonts w:eastAsiaTheme="minorEastAsia"/>
          <w:b/>
        </w:rPr>
        <w:t>econfigFailure, )</w:t>
      </w:r>
    </w:p>
    <w:p w:rsidR="00034333" w:rsidRDefault="00034333" w:rsidP="0013383D">
      <w:pPr>
        <w:rPr>
          <w:rFonts w:eastAsiaTheme="minorEastAsia"/>
        </w:rPr>
      </w:pPr>
    </w:p>
    <w:p w:rsidR="00753E68" w:rsidRDefault="00753E68" w:rsidP="0013383D">
      <w:pPr>
        <w:rPr>
          <w:rFonts w:eastAsiaTheme="minorEastAsia"/>
        </w:rPr>
      </w:pPr>
      <w:r>
        <w:rPr>
          <w:rFonts w:ascii="Arial" w:eastAsia="SimSun" w:hAnsi="Arial" w:cs="Times New Roman"/>
          <w:kern w:val="0"/>
          <w:sz w:val="28"/>
          <w:szCs w:val="20"/>
          <w:lang w:val="en-GB" w:eastAsia="en-US"/>
        </w:rPr>
        <w:t xml:space="preserve">2.5 Issue 5: </w:t>
      </w:r>
      <w:r w:rsidRPr="00753E68">
        <w:rPr>
          <w:rFonts w:ascii="Arial" w:eastAsia="SimSun" w:hAnsi="Arial" w:cs="Times New Roman"/>
          <w:kern w:val="0"/>
          <w:sz w:val="28"/>
          <w:szCs w:val="20"/>
          <w:lang w:val="en-GB" w:eastAsia="en-US"/>
        </w:rPr>
        <w:t>data traffic in IAB ENDC case</w:t>
      </w:r>
    </w:p>
    <w:p w:rsidR="00753E68" w:rsidRDefault="00753E68" w:rsidP="00753E68">
      <w:pPr>
        <w:rPr>
          <w:rFonts w:eastAsiaTheme="minorEastAsia"/>
        </w:rPr>
      </w:pPr>
      <w:r>
        <w:rPr>
          <w:rFonts w:eastAsiaTheme="minorEastAsia" w:hint="eastAsia"/>
        </w:rPr>
        <w:t>In last RAN2#10</w:t>
      </w:r>
      <w:r>
        <w:rPr>
          <w:rFonts w:eastAsiaTheme="minorEastAsia"/>
        </w:rPr>
        <w:t>6</w:t>
      </w:r>
      <w:r>
        <w:rPr>
          <w:rFonts w:eastAsiaTheme="minorEastAsia" w:hint="eastAsia"/>
        </w:rPr>
        <w:t xml:space="preserve"> meeting, we agreed the following:</w:t>
      </w:r>
    </w:p>
    <w:p w:rsidR="00753E68" w:rsidRDefault="00753E68" w:rsidP="00753E68">
      <w:pPr>
        <w:pStyle w:val="Agreement"/>
        <w:rPr>
          <w:rFonts w:eastAsia="굴림"/>
        </w:rPr>
      </w:pPr>
      <w:r>
        <w:t xml:space="preserve">For IAB node using EN-DC, from BAP and backhaul RLC channels point of view, this is a single link deployment (BAP route only by NR link). </w:t>
      </w:r>
    </w:p>
    <w:p w:rsidR="00753E68" w:rsidRPr="009479EB" w:rsidRDefault="00753E68" w:rsidP="00753E68">
      <w:pPr>
        <w:rPr>
          <w:rFonts w:ascii="Symbol" w:eastAsia="맑은 고딕" w:hAnsi="Symbol"/>
          <w:sz w:val="22"/>
          <w:lang w:val="en-GB"/>
        </w:rPr>
      </w:pPr>
    </w:p>
    <w:p w:rsidR="00753E68" w:rsidRDefault="00753E68" w:rsidP="00753E68">
      <w:r>
        <w:rPr>
          <w:rFonts w:hint="eastAsia"/>
        </w:rPr>
        <w:t xml:space="preserve">This </w:t>
      </w:r>
      <w:r>
        <w:t>has been not much time to discuss this issue including the other issues in IAB ENDC case. Obviously there is an agreement on there is only single link for the IAB traffic. However this is regarded as a normal operation case. Therefore, t</w:t>
      </w:r>
      <w:r>
        <w:rPr>
          <w:rFonts w:hint="eastAsia"/>
        </w:rPr>
        <w:t xml:space="preserve">he only thing to be discussed </w:t>
      </w:r>
      <w:r>
        <w:t xml:space="preserve">here </w:t>
      </w:r>
      <w:r>
        <w:rPr>
          <w:rFonts w:hint="eastAsia"/>
        </w:rPr>
        <w:t xml:space="preserve">is </w:t>
      </w:r>
      <w:r>
        <w:t xml:space="preserve">whether </w:t>
      </w:r>
      <w:r>
        <w:rPr>
          <w:rFonts w:hint="eastAsia"/>
        </w:rPr>
        <w:t>to allow the LTE Uu to carry the data during NR link is broken.</w:t>
      </w:r>
    </w:p>
    <w:p w:rsidR="00753E68" w:rsidRPr="005A05D9" w:rsidRDefault="00753E68" w:rsidP="00753E68">
      <w:pPr>
        <w:rPr>
          <w:rFonts w:eastAsiaTheme="minorEastAsia"/>
        </w:rPr>
      </w:pPr>
      <w:r>
        <w:rPr>
          <w:rFonts w:eastAsiaTheme="minorEastAsia" w:hint="eastAsia"/>
        </w:rPr>
        <w:t>There seems relative pros and cons for each direction.</w:t>
      </w:r>
    </w:p>
    <w:p w:rsidR="00753E68" w:rsidRDefault="00753E68" w:rsidP="00753E68">
      <w:r>
        <w:rPr>
          <w:rFonts w:hint="eastAsia"/>
        </w:rPr>
        <w:t>To allow:</w:t>
      </w:r>
    </w:p>
    <w:p w:rsidR="00753E68" w:rsidRDefault="00753E68" w:rsidP="00753E68">
      <w:r>
        <w:rPr>
          <w:rFonts w:hint="eastAsia"/>
        </w:rPr>
        <w:t>- pros: there is no or less latency compared to the only allowing NR link.</w:t>
      </w:r>
    </w:p>
    <w:p w:rsidR="00753E68" w:rsidRDefault="00753E68" w:rsidP="00753E68">
      <w:r>
        <w:rPr>
          <w:rFonts w:hint="eastAsia"/>
        </w:rPr>
        <w:t>- cons: burden on LTE node for packet processing, and on the X2 interface. And need to further discuss on which layer PDU is carried and so on.</w:t>
      </w:r>
    </w:p>
    <w:p w:rsidR="00753E68" w:rsidRDefault="00753E68" w:rsidP="00753E68"/>
    <w:p w:rsidR="00753E68" w:rsidRDefault="00753E68" w:rsidP="00753E68">
      <w:r>
        <w:rPr>
          <w:rFonts w:hint="eastAsia"/>
        </w:rPr>
        <w:t>Not to allow:</w:t>
      </w:r>
    </w:p>
    <w:p w:rsidR="00753E68" w:rsidRDefault="00753E68" w:rsidP="00753E68">
      <w:pPr>
        <w:pStyle w:val="a5"/>
        <w:widowControl/>
        <w:numPr>
          <w:ilvl w:val="0"/>
          <w:numId w:val="6"/>
        </w:numPr>
        <w:wordWrap/>
        <w:autoSpaceDE/>
        <w:autoSpaceDN/>
        <w:spacing w:after="0" w:line="240" w:lineRule="auto"/>
        <w:ind w:leftChars="0"/>
        <w:jc w:val="left"/>
      </w:pPr>
      <w:r>
        <w:t>Pros: simple operation at LTE side</w:t>
      </w:r>
    </w:p>
    <w:p w:rsidR="00753E68" w:rsidRDefault="00753E68" w:rsidP="00753E68">
      <w:pPr>
        <w:pStyle w:val="a5"/>
        <w:widowControl/>
        <w:numPr>
          <w:ilvl w:val="0"/>
          <w:numId w:val="6"/>
        </w:numPr>
        <w:wordWrap/>
        <w:autoSpaceDE/>
        <w:autoSpaceDN/>
        <w:spacing w:after="0" w:line="240" w:lineRule="auto"/>
        <w:ind w:leftChars="0"/>
        <w:jc w:val="left"/>
      </w:pPr>
      <w:r>
        <w:t>Cons: possible latency in UP at NR link is broken</w:t>
      </w:r>
    </w:p>
    <w:p w:rsidR="00753E68" w:rsidRPr="005A05D9" w:rsidRDefault="00753E68" w:rsidP="00753E68"/>
    <w:p w:rsidR="00753E68" w:rsidRDefault="00753E68" w:rsidP="00753E68">
      <w:r>
        <w:t xml:space="preserve">Even though we have no strong opinion on this, </w:t>
      </w:r>
      <w:r>
        <w:rPr>
          <w:rFonts w:hint="eastAsia"/>
        </w:rPr>
        <w:t xml:space="preserve">but it seems that having simple operation is the best. </w:t>
      </w:r>
    </w:p>
    <w:p w:rsidR="00753E68" w:rsidRDefault="00753E68" w:rsidP="00753E68">
      <w:r>
        <w:rPr>
          <w:rFonts w:hint="eastAsia"/>
        </w:rPr>
        <w:t xml:space="preserve">Therefore, </w:t>
      </w:r>
      <w:r>
        <w:t>we propose not to use LTE Uu for carrying the IAB data during NR link is broken</w:t>
      </w:r>
    </w:p>
    <w:p w:rsidR="00753E68" w:rsidRDefault="00753E68" w:rsidP="00753E68">
      <w:pPr>
        <w:rPr>
          <w:b/>
          <w:bCs/>
        </w:rPr>
      </w:pPr>
      <w:r>
        <w:rPr>
          <w:rFonts w:hint="eastAsia"/>
          <w:b/>
          <w:bCs/>
        </w:rPr>
        <w:t xml:space="preserve">Proposal </w:t>
      </w:r>
      <w:r>
        <w:rPr>
          <w:b/>
          <w:bCs/>
        </w:rPr>
        <w:t>9</w:t>
      </w:r>
      <w:r>
        <w:rPr>
          <w:rFonts w:hint="eastAsia"/>
          <w:b/>
          <w:bCs/>
        </w:rPr>
        <w:t>. RAN2 agrees that LTE Uu not to carry the IAB data during NR link is broken.</w:t>
      </w:r>
    </w:p>
    <w:p w:rsidR="00753E68" w:rsidRDefault="00753E68" w:rsidP="00753E68"/>
    <w:p w:rsidR="00753E68" w:rsidRPr="00753E68" w:rsidRDefault="00753E68" w:rsidP="0013383D">
      <w:pPr>
        <w:rPr>
          <w:rFonts w:eastAsiaTheme="minorEastAsia"/>
        </w:rPr>
      </w:pPr>
    </w:p>
    <w:p w:rsidR="00753E68" w:rsidRPr="00753E68" w:rsidRDefault="00753E68" w:rsidP="0013383D">
      <w:pPr>
        <w:rPr>
          <w:rFonts w:eastAsiaTheme="minorEastAsia" w:hint="eastAsia"/>
        </w:rPr>
      </w:pPr>
    </w:p>
    <w:p w:rsidR="00AF0696" w:rsidRDefault="00AF0696" w:rsidP="00AF0696">
      <w:pPr>
        <w:pStyle w:val="1"/>
      </w:pPr>
      <w:r>
        <w:t>C</w:t>
      </w:r>
      <w:r>
        <w:rPr>
          <w:rFonts w:hint="eastAsia"/>
        </w:rPr>
        <w:t xml:space="preserve">onclusion </w:t>
      </w:r>
    </w:p>
    <w:p w:rsidR="00AF0696" w:rsidRDefault="00AF0696" w:rsidP="0013383D">
      <w:pPr>
        <w:rPr>
          <w:rFonts w:eastAsiaTheme="minorEastAsia"/>
        </w:rPr>
      </w:pPr>
      <w:r>
        <w:rPr>
          <w:rFonts w:eastAsiaTheme="minorEastAsia"/>
        </w:rPr>
        <w:t>Based on the above discussion, we have the following proposals:</w:t>
      </w:r>
    </w:p>
    <w:p w:rsidR="00AF0696" w:rsidRDefault="00AF0696" w:rsidP="00AF0696">
      <w:pPr>
        <w:rPr>
          <w:b/>
          <w:bCs/>
        </w:rPr>
      </w:pPr>
      <w:r>
        <w:rPr>
          <w:b/>
          <w:bCs/>
        </w:rPr>
        <w:t>Proposal 1. RAN2 agrees that IAB node can work as UE in EN-DC deployment.</w:t>
      </w:r>
    </w:p>
    <w:p w:rsidR="00AF0696" w:rsidRPr="00323905" w:rsidRDefault="00AF0696" w:rsidP="00AF0696">
      <w:pPr>
        <w:rPr>
          <w:b/>
        </w:rPr>
      </w:pPr>
      <w:r w:rsidRPr="00323905">
        <w:rPr>
          <w:b/>
        </w:rPr>
        <w:t xml:space="preserve">Proposal 2. RAN2 follows above ENDC setup procedure </w:t>
      </w:r>
    </w:p>
    <w:p w:rsidR="00AF0696" w:rsidRPr="00323905" w:rsidRDefault="00AF0696" w:rsidP="00AF0696">
      <w:pPr>
        <w:rPr>
          <w:rFonts w:eastAsiaTheme="minorEastAsia"/>
          <w:b/>
        </w:rPr>
      </w:pPr>
      <w:r w:rsidRPr="00323905">
        <w:rPr>
          <w:rFonts w:eastAsiaTheme="minorEastAsia"/>
          <w:b/>
        </w:rPr>
        <w:t>Proposal 3. SRB3 is always configured.</w:t>
      </w:r>
    </w:p>
    <w:p w:rsidR="00AF0696" w:rsidRPr="00323905" w:rsidRDefault="00AF0696" w:rsidP="00AF0696">
      <w:pPr>
        <w:rPr>
          <w:rFonts w:eastAsiaTheme="minorEastAsia"/>
          <w:b/>
        </w:rPr>
      </w:pPr>
      <w:r w:rsidRPr="00323905">
        <w:rPr>
          <w:rFonts w:eastAsiaTheme="minorEastAsia"/>
          <w:b/>
        </w:rPr>
        <w:t>Proposal 4. No split SRB (split SRB1 and 2) are allowed.</w:t>
      </w:r>
    </w:p>
    <w:p w:rsidR="00AF0696" w:rsidRPr="00AF0696" w:rsidRDefault="00AF0696" w:rsidP="00AF0696">
      <w:pPr>
        <w:rPr>
          <w:rFonts w:eastAsiaTheme="minorEastAsia"/>
          <w:b/>
        </w:rPr>
      </w:pPr>
      <w:r w:rsidRPr="00AF0696">
        <w:rPr>
          <w:rFonts w:eastAsiaTheme="minorEastAsia"/>
          <w:b/>
        </w:rPr>
        <w:t>Proposal 5. No split DRB terminated at en-gNB(IAB donor node) is allowed.</w:t>
      </w:r>
    </w:p>
    <w:p w:rsidR="00AF0696" w:rsidRPr="00AF0696" w:rsidRDefault="00AF0696" w:rsidP="00AF0696">
      <w:pPr>
        <w:rPr>
          <w:rFonts w:eastAsiaTheme="minorEastAsia"/>
          <w:b/>
        </w:rPr>
      </w:pPr>
      <w:r w:rsidRPr="00AF0696">
        <w:rPr>
          <w:rFonts w:eastAsiaTheme="minorEastAsia"/>
          <w:b/>
        </w:rPr>
        <w:t>Proposal 6. If SCG link has failed IAB node will suspend SCG transmission for all SRBs and DRBs.</w:t>
      </w:r>
    </w:p>
    <w:p w:rsidR="00AF0696" w:rsidRPr="00AF0696" w:rsidRDefault="00AF0696" w:rsidP="00AF0696">
      <w:pPr>
        <w:rPr>
          <w:rFonts w:eastAsiaTheme="minorEastAsia"/>
          <w:b/>
        </w:rPr>
      </w:pPr>
      <w:r w:rsidRPr="00AF0696">
        <w:rPr>
          <w:rFonts w:eastAsiaTheme="minorEastAsia"/>
          <w:b/>
        </w:rPr>
        <w:t xml:space="preserve">Proposal 7. Failed IAB node resets SCG MAC. </w:t>
      </w:r>
    </w:p>
    <w:p w:rsidR="00AF0696" w:rsidRDefault="00AF0696" w:rsidP="00AF0696">
      <w:r w:rsidRPr="00AF0696">
        <w:rPr>
          <w:rFonts w:eastAsiaTheme="minorEastAsia"/>
          <w:b/>
        </w:rPr>
        <w:t>P</w:t>
      </w:r>
      <w:r>
        <w:rPr>
          <w:rFonts w:eastAsiaTheme="minorEastAsia"/>
          <w:b/>
        </w:rPr>
        <w:t xml:space="preserve">roposal </w:t>
      </w:r>
      <w:r w:rsidRPr="00AF0696">
        <w:rPr>
          <w:rFonts w:eastAsiaTheme="minorEastAsia"/>
          <w:b/>
        </w:rPr>
        <w:t xml:space="preserve">8. Reuse legacy SCGfailureType on IAB node’s failure report transmission (as in current failure type: </w:t>
      </w:r>
    </w:p>
    <w:p w:rsidR="00AF0696" w:rsidRDefault="00AF0696" w:rsidP="00AF0696">
      <w:r w:rsidRPr="00AF0696">
        <w:rPr>
          <w:rFonts w:eastAsiaTheme="minorEastAsia"/>
          <w:b/>
        </w:rPr>
        <w:t>t310-expiry, syncReconfigFailure-SCG, randomAccessProblem, rlc-MaxNumRetx, srb3-IntegrityFailure, scg-</w:t>
      </w:r>
    </w:p>
    <w:p w:rsidR="00AF0696" w:rsidRPr="00AF0696" w:rsidRDefault="00AF0696" w:rsidP="00AF0696">
      <w:pPr>
        <w:rPr>
          <w:rFonts w:eastAsiaTheme="minorEastAsia"/>
          <w:b/>
        </w:rPr>
      </w:pPr>
      <w:r w:rsidRPr="00AF0696">
        <w:rPr>
          <w:rFonts w:eastAsiaTheme="minorEastAsia"/>
          <w:b/>
        </w:rPr>
        <w:t>ReconfigFailure, )</w:t>
      </w:r>
    </w:p>
    <w:p w:rsidR="00753E68" w:rsidRDefault="00753E68" w:rsidP="00753E68">
      <w:pPr>
        <w:rPr>
          <w:b/>
          <w:bCs/>
        </w:rPr>
      </w:pPr>
      <w:r>
        <w:rPr>
          <w:rFonts w:hint="eastAsia"/>
          <w:b/>
          <w:bCs/>
        </w:rPr>
        <w:t xml:space="preserve">Proposal </w:t>
      </w:r>
      <w:r>
        <w:rPr>
          <w:b/>
          <w:bCs/>
        </w:rPr>
        <w:t>9</w:t>
      </w:r>
      <w:r>
        <w:rPr>
          <w:rFonts w:hint="eastAsia"/>
          <w:b/>
          <w:bCs/>
        </w:rPr>
        <w:t>. RAN2 agrees that LTE Uu not to carry the IAB data during NR link is broken.</w:t>
      </w:r>
    </w:p>
    <w:p w:rsidR="00AF0696" w:rsidRPr="00753E68" w:rsidRDefault="00AF0696" w:rsidP="0013383D">
      <w:pPr>
        <w:rPr>
          <w:rFonts w:eastAsiaTheme="minorEastAsia"/>
        </w:rPr>
      </w:pPr>
    </w:p>
    <w:p w:rsidR="00034333" w:rsidRDefault="00034333" w:rsidP="0013383D"/>
    <w:p w:rsidR="00034333" w:rsidRDefault="00034333" w:rsidP="00F263D7">
      <w:pPr>
        <w:pStyle w:val="1"/>
      </w:pPr>
      <w:r>
        <w:t xml:space="preserve">References </w:t>
      </w:r>
    </w:p>
    <w:p w:rsidR="00401668" w:rsidRDefault="00034333" w:rsidP="0013383D">
      <w:r>
        <w:t xml:space="preserve">[1] </w:t>
      </w:r>
      <w:r w:rsidR="00401668">
        <w:t>RP-190712 WID for Integrated Access and Backhaul</w:t>
      </w:r>
    </w:p>
    <w:p w:rsidR="00034333" w:rsidRDefault="00401668" w:rsidP="0013383D">
      <w:pPr>
        <w:rPr>
          <w:rFonts w:cs="Arial"/>
        </w:rPr>
      </w:pPr>
      <w:r>
        <w:t xml:space="preserve">[2] </w:t>
      </w:r>
      <w:r w:rsidR="00034333">
        <w:t>TR 38.874</w:t>
      </w:r>
      <w:r w:rsidR="00F263D7">
        <w:t xml:space="preserve"> </w:t>
      </w:r>
      <w:r w:rsidR="00F263D7" w:rsidRPr="00E23CFA">
        <w:rPr>
          <w:rFonts w:cs="Arial"/>
        </w:rPr>
        <w:t>Study on Integrated Access and Backhaul</w:t>
      </w:r>
    </w:p>
    <w:sectPr w:rsidR="0003433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F41" w:rsidRDefault="007B7F41" w:rsidP="00A74E79">
      <w:pPr>
        <w:spacing w:after="0" w:line="240" w:lineRule="auto"/>
      </w:pPr>
      <w:r>
        <w:separator/>
      </w:r>
    </w:p>
  </w:endnote>
  <w:endnote w:type="continuationSeparator" w:id="0">
    <w:p w:rsidR="007B7F41" w:rsidRDefault="007B7F41" w:rsidP="00A74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F41" w:rsidRDefault="007B7F41" w:rsidP="00A74E79">
      <w:pPr>
        <w:spacing w:after="0" w:line="240" w:lineRule="auto"/>
      </w:pPr>
      <w:r>
        <w:separator/>
      </w:r>
    </w:p>
  </w:footnote>
  <w:footnote w:type="continuationSeparator" w:id="0">
    <w:p w:rsidR="007B7F41" w:rsidRDefault="007B7F41" w:rsidP="00A74E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3A6A215F"/>
    <w:multiLevelType w:val="hybridMultilevel"/>
    <w:tmpl w:val="80443624"/>
    <w:lvl w:ilvl="0" w:tplc="9238102A">
      <w:numFmt w:val="bullet"/>
      <w:lvlText w:val="-"/>
      <w:lvlJc w:val="left"/>
      <w:pPr>
        <w:ind w:left="1155" w:hanging="360"/>
      </w:pPr>
      <w:rPr>
        <w:rFonts w:ascii="맑은 고딕" w:eastAsia="맑은 고딕" w:hAnsi="맑은 고딕" w:cs="Times New Roman" w:hint="eastAsia"/>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start w:val="1"/>
      <w:numFmt w:val="bullet"/>
      <w:lvlText w:val=""/>
      <w:lvlJc w:val="left"/>
      <w:pPr>
        <w:ind w:left="2795" w:hanging="400"/>
      </w:pPr>
      <w:rPr>
        <w:rFonts w:ascii="Wingdings" w:hAnsi="Wingdings" w:hint="default"/>
      </w:rPr>
    </w:lvl>
    <w:lvl w:ilvl="5" w:tplc="04090005">
      <w:start w:val="1"/>
      <w:numFmt w:val="bullet"/>
      <w:lvlText w:val=""/>
      <w:lvlJc w:val="left"/>
      <w:pPr>
        <w:ind w:left="3195" w:hanging="400"/>
      </w:pPr>
      <w:rPr>
        <w:rFonts w:ascii="Wingdings" w:hAnsi="Wingdings" w:hint="default"/>
      </w:rPr>
    </w:lvl>
    <w:lvl w:ilvl="6" w:tplc="04090001">
      <w:start w:val="1"/>
      <w:numFmt w:val="bullet"/>
      <w:lvlText w:val=""/>
      <w:lvlJc w:val="left"/>
      <w:pPr>
        <w:ind w:left="3595" w:hanging="400"/>
      </w:pPr>
      <w:rPr>
        <w:rFonts w:ascii="Wingdings" w:hAnsi="Wingdings" w:hint="default"/>
      </w:rPr>
    </w:lvl>
    <w:lvl w:ilvl="7" w:tplc="04090003">
      <w:start w:val="1"/>
      <w:numFmt w:val="bullet"/>
      <w:lvlText w:val=""/>
      <w:lvlJc w:val="left"/>
      <w:pPr>
        <w:ind w:left="3995" w:hanging="400"/>
      </w:pPr>
      <w:rPr>
        <w:rFonts w:ascii="Wingdings" w:hAnsi="Wingdings" w:hint="default"/>
      </w:rPr>
    </w:lvl>
    <w:lvl w:ilvl="8" w:tplc="04090005">
      <w:start w:val="1"/>
      <w:numFmt w:val="bullet"/>
      <w:lvlText w:val=""/>
      <w:lvlJc w:val="left"/>
      <w:pPr>
        <w:ind w:left="4395" w:hanging="400"/>
      </w:pPr>
      <w:rPr>
        <w:rFonts w:ascii="Wingdings" w:hAnsi="Wingdings" w:hint="default"/>
      </w:rPr>
    </w:lvl>
  </w:abstractNum>
  <w:abstractNum w:abstractNumId="2" w15:restartNumberingAfterBreak="0">
    <w:nsid w:val="3BE038E7"/>
    <w:multiLevelType w:val="hybridMultilevel"/>
    <w:tmpl w:val="100C222A"/>
    <w:lvl w:ilvl="0" w:tplc="A084852A">
      <w:start w:val="4"/>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26E1BCB"/>
    <w:multiLevelType w:val="hybridMultilevel"/>
    <w:tmpl w:val="0B1698C6"/>
    <w:lvl w:ilvl="0" w:tplc="794CB6D8">
      <w:start w:val="4"/>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6DA80BB1"/>
    <w:multiLevelType w:val="hybridMultilevel"/>
    <w:tmpl w:val="3B6E710C"/>
    <w:lvl w:ilvl="0" w:tplc="5748C5FE">
      <w:start w:val="4"/>
      <w:numFmt w:val="bullet"/>
      <w:lvlText w:val="-"/>
      <w:lvlJc w:val="left"/>
      <w:pPr>
        <w:ind w:left="760" w:hanging="360"/>
      </w:pPr>
      <w:rPr>
        <w:rFonts w:ascii="Calibri" w:eastAsia="Calibri"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3"/>
  </w:num>
  <w:num w:numId="7">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83D"/>
    <w:rsid w:val="00033F41"/>
    <w:rsid w:val="00034333"/>
    <w:rsid w:val="00046839"/>
    <w:rsid w:val="000F3907"/>
    <w:rsid w:val="0013383D"/>
    <w:rsid w:val="001D6D18"/>
    <w:rsid w:val="00323905"/>
    <w:rsid w:val="003A2020"/>
    <w:rsid w:val="00401668"/>
    <w:rsid w:val="00534C1C"/>
    <w:rsid w:val="005E5EE7"/>
    <w:rsid w:val="006A329A"/>
    <w:rsid w:val="00732A4C"/>
    <w:rsid w:val="00753E68"/>
    <w:rsid w:val="007B7F41"/>
    <w:rsid w:val="00846938"/>
    <w:rsid w:val="008D7364"/>
    <w:rsid w:val="00940F74"/>
    <w:rsid w:val="00945143"/>
    <w:rsid w:val="00975BF6"/>
    <w:rsid w:val="00A74E79"/>
    <w:rsid w:val="00A7743F"/>
    <w:rsid w:val="00AE7C27"/>
    <w:rsid w:val="00AF0696"/>
    <w:rsid w:val="00BB7BA1"/>
    <w:rsid w:val="00C61031"/>
    <w:rsid w:val="00D5117B"/>
    <w:rsid w:val="00F263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DBCC9E"/>
  <w15:chartTrackingRefBased/>
  <w15:docId w15:val="{F3A38649-202E-4500-9E4B-B4F92F2E0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13383D"/>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13383D"/>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13383D"/>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13383D"/>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13383D"/>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13383D"/>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13383D"/>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13383D"/>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13383D"/>
    <w:rPr>
      <w:rFonts w:ascii="Arial" w:eastAsia="SimSun" w:hAnsi="Arial" w:cs="Times New Roman"/>
      <w:kern w:val="0"/>
      <w:sz w:val="24"/>
      <w:szCs w:val="20"/>
      <w:lang w:val="en-GB" w:eastAsia="en-US"/>
    </w:rPr>
  </w:style>
  <w:style w:type="paragraph" w:customStyle="1" w:styleId="a">
    <w:name w:val="插图题注"/>
    <w:basedOn w:val="a1"/>
    <w:rsid w:val="0013383D"/>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13383D"/>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styleId="a5">
    <w:name w:val="List Paragraph"/>
    <w:basedOn w:val="a1"/>
    <w:link w:val="Char"/>
    <w:uiPriority w:val="34"/>
    <w:qFormat/>
    <w:rsid w:val="00AE7C27"/>
    <w:pPr>
      <w:ind w:leftChars="400" w:left="800"/>
    </w:pPr>
  </w:style>
  <w:style w:type="paragraph" w:styleId="a6">
    <w:name w:val="header"/>
    <w:basedOn w:val="a1"/>
    <w:link w:val="Char0"/>
    <w:uiPriority w:val="99"/>
    <w:unhideWhenUsed/>
    <w:rsid w:val="00A74E79"/>
    <w:pPr>
      <w:tabs>
        <w:tab w:val="center" w:pos="4513"/>
        <w:tab w:val="right" w:pos="9026"/>
      </w:tabs>
      <w:snapToGrid w:val="0"/>
    </w:pPr>
  </w:style>
  <w:style w:type="character" w:customStyle="1" w:styleId="Char0">
    <w:name w:val="머리글 Char"/>
    <w:basedOn w:val="a2"/>
    <w:link w:val="a6"/>
    <w:uiPriority w:val="99"/>
    <w:rsid w:val="00A74E79"/>
    <w:rPr>
      <w:rFonts w:ascii="Calibri" w:eastAsia="Calibri" w:hAnsi="Calibri"/>
    </w:rPr>
  </w:style>
  <w:style w:type="paragraph" w:styleId="a7">
    <w:name w:val="footer"/>
    <w:basedOn w:val="a1"/>
    <w:link w:val="Char1"/>
    <w:uiPriority w:val="99"/>
    <w:unhideWhenUsed/>
    <w:rsid w:val="00A74E79"/>
    <w:pPr>
      <w:tabs>
        <w:tab w:val="center" w:pos="4513"/>
        <w:tab w:val="right" w:pos="9026"/>
      </w:tabs>
      <w:snapToGrid w:val="0"/>
    </w:pPr>
  </w:style>
  <w:style w:type="character" w:customStyle="1" w:styleId="Char1">
    <w:name w:val="바닥글 Char"/>
    <w:basedOn w:val="a2"/>
    <w:link w:val="a7"/>
    <w:uiPriority w:val="99"/>
    <w:rsid w:val="00A74E79"/>
    <w:rPr>
      <w:rFonts w:ascii="Calibri" w:eastAsia="Calibri" w:hAnsi="Calibri"/>
    </w:rPr>
  </w:style>
  <w:style w:type="paragraph" w:customStyle="1" w:styleId="Agreement">
    <w:name w:val="Agreement"/>
    <w:basedOn w:val="a1"/>
    <w:next w:val="a1"/>
    <w:rsid w:val="00753E68"/>
    <w:pPr>
      <w:widowControl/>
      <w:numPr>
        <w:numId w:val="5"/>
      </w:numPr>
      <w:wordWrap/>
      <w:autoSpaceDE/>
      <w:autoSpaceDN/>
      <w:spacing w:before="60" w:after="0" w:line="240" w:lineRule="auto"/>
      <w:jc w:val="left"/>
    </w:pPr>
    <w:rPr>
      <w:rFonts w:ascii="Arial" w:eastAsia="MS Mincho" w:hAnsi="Arial" w:cs="Times New Roman"/>
      <w:b/>
      <w:kern w:val="0"/>
      <w:szCs w:val="24"/>
      <w:lang w:val="en-GB" w:eastAsia="en-GB"/>
    </w:rPr>
  </w:style>
  <w:style w:type="character" w:customStyle="1" w:styleId="Char">
    <w:name w:val="목록 단락 Char"/>
    <w:basedOn w:val="a2"/>
    <w:link w:val="a5"/>
    <w:uiPriority w:val="34"/>
    <w:locked/>
    <w:rsid w:val="00753E68"/>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324760">
      <w:bodyDiv w:val="1"/>
      <w:marLeft w:val="0"/>
      <w:marRight w:val="0"/>
      <w:marTop w:val="0"/>
      <w:marBottom w:val="0"/>
      <w:divBdr>
        <w:top w:val="none" w:sz="0" w:space="0" w:color="auto"/>
        <w:left w:val="none" w:sz="0" w:space="0" w:color="auto"/>
        <w:bottom w:val="none" w:sz="0" w:space="0" w:color="auto"/>
        <w:right w:val="none" w:sz="0" w:space="0" w:color="auto"/>
      </w:divBdr>
    </w:div>
    <w:div w:id="1229457091">
      <w:bodyDiv w:val="1"/>
      <w:marLeft w:val="0"/>
      <w:marRight w:val="0"/>
      <w:marTop w:val="0"/>
      <w:marBottom w:val="0"/>
      <w:divBdr>
        <w:top w:val="none" w:sz="0" w:space="0" w:color="auto"/>
        <w:left w:val="none" w:sz="0" w:space="0" w:color="auto"/>
        <w:bottom w:val="none" w:sz="0" w:space="0" w:color="auto"/>
        <w:right w:val="none" w:sz="0" w:space="0" w:color="auto"/>
      </w:divBdr>
    </w:div>
    <w:div w:id="1428188786">
      <w:bodyDiv w:val="1"/>
      <w:marLeft w:val="0"/>
      <w:marRight w:val="0"/>
      <w:marTop w:val="0"/>
      <w:marBottom w:val="0"/>
      <w:divBdr>
        <w:top w:val="none" w:sz="0" w:space="0" w:color="auto"/>
        <w:left w:val="none" w:sz="0" w:space="0" w:color="auto"/>
        <w:bottom w:val="none" w:sz="0" w:space="0" w:color="auto"/>
        <w:right w:val="none" w:sz="0" w:space="0" w:color="auto"/>
      </w:divBdr>
    </w:div>
    <w:div w:id="200759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832</Words>
  <Characters>4746</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2</cp:revision>
  <dcterms:created xsi:type="dcterms:W3CDTF">2019-10-04T01:25:00Z</dcterms:created>
  <dcterms:modified xsi:type="dcterms:W3CDTF">2019-10-04T01:25:00Z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데이터\RAN2#106\[IAB]\NR-DC architecture for IAB.docx</vt:lpwstr>
  </property>
</Properties>
</file>